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4D07F" w14:textId="77777777" w:rsidR="007C4205" w:rsidRDefault="006247FF" w:rsidP="007C4205">
      <w:pPr>
        <w:jc w:val="center"/>
        <w:rPr>
          <w:lang w:val="sr-Cyrl-RS"/>
        </w:rPr>
      </w:pPr>
      <w:r>
        <w:rPr>
          <w:lang w:val="sr-Cyrl-RS"/>
        </w:rPr>
        <w:t>Рецензија т</w:t>
      </w:r>
      <w:r w:rsidR="00620303" w:rsidRPr="00620303">
        <w:rPr>
          <w:lang w:val="sr-Cyrl-RS"/>
        </w:rPr>
        <w:t>ематск</w:t>
      </w:r>
      <w:r>
        <w:rPr>
          <w:lang w:val="sr-Cyrl-RS"/>
        </w:rPr>
        <w:t>ог</w:t>
      </w:r>
      <w:r w:rsidR="00620303" w:rsidRPr="00620303">
        <w:rPr>
          <w:lang w:val="sr-Cyrl-RS"/>
        </w:rPr>
        <w:t xml:space="preserve"> зборник</w:t>
      </w:r>
      <w:r>
        <w:rPr>
          <w:lang w:val="sr-Cyrl-RS"/>
        </w:rPr>
        <w:t>а</w:t>
      </w:r>
      <w:r w:rsidR="00620303" w:rsidRPr="00620303">
        <w:rPr>
          <w:lang w:val="sr-Cyrl-RS"/>
        </w:rPr>
        <w:t xml:space="preserve"> </w:t>
      </w:r>
    </w:p>
    <w:p w14:paraId="0BCF93D9" w14:textId="77777777" w:rsidR="00620303" w:rsidRPr="006247FF" w:rsidRDefault="00620303" w:rsidP="007C4205">
      <w:pPr>
        <w:jc w:val="center"/>
        <w:rPr>
          <w:lang w:val="sr-Cyrl-RS"/>
        </w:rPr>
      </w:pPr>
      <w:r w:rsidRPr="00620303">
        <w:rPr>
          <w:i/>
          <w:lang w:val="sr-Cyrl-RS"/>
        </w:rPr>
        <w:t>Језик, књижевност, алтернативе: језичка истраживања</w:t>
      </w:r>
    </w:p>
    <w:p w14:paraId="35679B1D" w14:textId="77777777" w:rsidR="00620303" w:rsidRDefault="00620303" w:rsidP="00AA452E">
      <w:pPr>
        <w:jc w:val="both"/>
        <w:rPr>
          <w:i/>
          <w:lang w:val="sr-Cyrl-RS"/>
        </w:rPr>
      </w:pPr>
    </w:p>
    <w:p w14:paraId="62B6729D" w14:textId="77777777" w:rsidR="00A85DDD" w:rsidRDefault="00A85DDD" w:rsidP="00AA452E">
      <w:pPr>
        <w:jc w:val="both"/>
        <w:rPr>
          <w:i/>
          <w:lang w:val="sr-Cyrl-RS"/>
        </w:rPr>
      </w:pPr>
    </w:p>
    <w:p w14:paraId="0C57CB07" w14:textId="77777777" w:rsidR="00A85DDD" w:rsidRPr="00620303" w:rsidRDefault="00A85DDD" w:rsidP="00AA452E">
      <w:pPr>
        <w:jc w:val="both"/>
        <w:rPr>
          <w:i/>
          <w:lang w:val="sr-Cyrl-RS"/>
        </w:rPr>
      </w:pPr>
    </w:p>
    <w:p w14:paraId="1F1484CA" w14:textId="77777777" w:rsidR="00761B5A" w:rsidRDefault="00620303" w:rsidP="000D0522">
      <w:pPr>
        <w:ind w:firstLine="720"/>
        <w:jc w:val="both"/>
        <w:rPr>
          <w:lang w:val="sr-Cyrl-RS"/>
        </w:rPr>
      </w:pPr>
      <w:r w:rsidRPr="00620303">
        <w:rPr>
          <w:lang w:val="sr-Cyrl-RS"/>
        </w:rPr>
        <w:t xml:space="preserve">Тематски зборник </w:t>
      </w:r>
      <w:r w:rsidRPr="00620303">
        <w:rPr>
          <w:i/>
          <w:lang w:val="sr-Cyrl-RS"/>
        </w:rPr>
        <w:t xml:space="preserve">Језик, књижевност, алтернативе: језичка истраживања </w:t>
      </w:r>
      <w:r w:rsidRPr="00620303">
        <w:rPr>
          <w:lang w:val="sr-Cyrl-RS"/>
        </w:rPr>
        <w:t>први је од два тома кој</w:t>
      </w:r>
      <w:r w:rsidR="000D0522">
        <w:rPr>
          <w:lang w:val="sr-Cyrl-RS"/>
        </w:rPr>
        <w:t>и</w:t>
      </w:r>
      <w:r w:rsidRPr="00620303">
        <w:rPr>
          <w:lang w:val="sr-Cyrl-RS"/>
        </w:rPr>
        <w:t xml:space="preserve"> укоричују научне радове изложене на конференцији </w:t>
      </w:r>
      <w:r w:rsidRPr="00620303">
        <w:rPr>
          <w:i/>
          <w:lang w:val="sr-Cyrl-RS"/>
        </w:rPr>
        <w:t>Језик, књижевност, алтернативе</w:t>
      </w:r>
      <w:r w:rsidR="000D0522">
        <w:rPr>
          <w:lang w:val="sr-Cyrl-RS"/>
        </w:rPr>
        <w:t>.</w:t>
      </w:r>
      <w:r w:rsidRPr="00620303">
        <w:rPr>
          <w:lang w:val="sr-Cyrl-RS"/>
        </w:rPr>
        <w:t xml:space="preserve"> </w:t>
      </w:r>
      <w:r w:rsidR="00393C94">
        <w:rPr>
          <w:lang w:val="sr-Cyrl-RS"/>
        </w:rPr>
        <w:t>Већ по традицији</w:t>
      </w:r>
      <w:r w:rsidR="00822895">
        <w:rPr>
          <w:lang w:val="sr-Cyrl-RS"/>
        </w:rPr>
        <w:t xml:space="preserve"> дужој од</w:t>
      </w:r>
      <w:r w:rsidR="000D0522">
        <w:rPr>
          <w:lang w:val="sr-Cyrl-RS"/>
        </w:rPr>
        <w:t xml:space="preserve"> деценије, зборници са овога скупа, који се одржава на</w:t>
      </w:r>
      <w:r w:rsidR="000D0522" w:rsidRPr="00620303">
        <w:rPr>
          <w:lang w:val="sr-Cyrl-RS"/>
        </w:rPr>
        <w:t xml:space="preserve"> Филозофск</w:t>
      </w:r>
      <w:r w:rsidR="000D0522">
        <w:rPr>
          <w:lang w:val="sr-Cyrl-RS"/>
        </w:rPr>
        <w:t>ом</w:t>
      </w:r>
      <w:r w:rsidR="000D0522" w:rsidRPr="00620303">
        <w:rPr>
          <w:lang w:val="sr-Cyrl-RS"/>
        </w:rPr>
        <w:t xml:space="preserve"> факултет</w:t>
      </w:r>
      <w:r w:rsidR="000D0522">
        <w:rPr>
          <w:lang w:val="sr-Cyrl-RS"/>
        </w:rPr>
        <w:t>у</w:t>
      </w:r>
      <w:r w:rsidR="000D0522" w:rsidRPr="00620303">
        <w:rPr>
          <w:lang w:val="sr-Cyrl-RS"/>
        </w:rPr>
        <w:t xml:space="preserve"> у Нишу</w:t>
      </w:r>
      <w:r w:rsidR="000D0522">
        <w:rPr>
          <w:lang w:val="sr-Cyrl-RS"/>
        </w:rPr>
        <w:t>, приређују се</w:t>
      </w:r>
      <w:r w:rsidR="00761B5A">
        <w:rPr>
          <w:lang w:val="sr-Cyrl-RS"/>
        </w:rPr>
        <w:t xml:space="preserve"> </w:t>
      </w:r>
      <w:r w:rsidR="000D0522">
        <w:rPr>
          <w:lang w:val="sr-Cyrl-RS"/>
        </w:rPr>
        <w:t>дво</w:t>
      </w:r>
      <w:r w:rsidR="00761B5A">
        <w:rPr>
          <w:lang w:val="sr-Cyrl-RS"/>
        </w:rPr>
        <w:t>том</w:t>
      </w:r>
      <w:r w:rsidR="000D0522">
        <w:rPr>
          <w:lang w:val="sr-Cyrl-RS"/>
        </w:rPr>
        <w:t>н</w:t>
      </w:r>
      <w:r w:rsidR="00761B5A">
        <w:rPr>
          <w:lang w:val="sr-Cyrl-RS"/>
        </w:rPr>
        <w:t>о</w:t>
      </w:r>
      <w:r w:rsidR="000D0522">
        <w:rPr>
          <w:lang w:val="sr-Cyrl-RS"/>
        </w:rPr>
        <w:t>. Пратећи дисциплинарне оквире саме конференције, први том увек обједињује језичку, а други књижевнонаучну тематику.</w:t>
      </w:r>
      <w:r w:rsidR="00761B5A">
        <w:rPr>
          <w:lang w:val="sr-Cyrl-RS"/>
        </w:rPr>
        <w:t xml:space="preserve"> </w:t>
      </w:r>
    </w:p>
    <w:p w14:paraId="71370A87" w14:textId="77777777" w:rsidR="00761B5A" w:rsidRDefault="000D0522" w:rsidP="000D0522">
      <w:pPr>
        <w:ind w:firstLine="720"/>
        <w:jc w:val="both"/>
        <w:rPr>
          <w:lang w:val="sr-Cyrl-RS"/>
        </w:rPr>
      </w:pPr>
      <w:r>
        <w:rPr>
          <w:lang w:val="sr-Cyrl-RS"/>
        </w:rPr>
        <w:t>Овога пута конференција је била специфична у односу на претходне јер је одржана у онлајн формату, што није умањило нити интересовање</w:t>
      </w:r>
      <w:r w:rsidR="00AA2917">
        <w:rPr>
          <w:lang w:val="sr-Cyrl-RS"/>
        </w:rPr>
        <w:t xml:space="preserve"> учесника</w:t>
      </w:r>
      <w:r>
        <w:rPr>
          <w:lang w:val="sr-Cyrl-RS"/>
        </w:rPr>
        <w:t xml:space="preserve"> нити број и квалитет изложених и достављених радова. Како су </w:t>
      </w:r>
      <w:r w:rsidR="00144E88">
        <w:rPr>
          <w:lang w:val="sr-Cyrl-RS"/>
        </w:rPr>
        <w:t xml:space="preserve">сви радови </w:t>
      </w:r>
      <w:r>
        <w:rPr>
          <w:lang w:val="sr-Cyrl-RS"/>
        </w:rPr>
        <w:t xml:space="preserve">претходно </w:t>
      </w:r>
      <w:r w:rsidR="00144E88">
        <w:rPr>
          <w:lang w:val="sr-Cyrl-RS"/>
        </w:rPr>
        <w:t xml:space="preserve">рецензирани, </w:t>
      </w:r>
      <w:r>
        <w:rPr>
          <w:lang w:val="sr-Cyrl-RS"/>
        </w:rPr>
        <w:t xml:space="preserve">у овој рецензији дајемо </w:t>
      </w:r>
      <w:r w:rsidR="00144E88">
        <w:rPr>
          <w:lang w:val="sr-Cyrl-RS"/>
        </w:rPr>
        <w:t>збирн</w:t>
      </w:r>
      <w:r>
        <w:rPr>
          <w:lang w:val="sr-Cyrl-RS"/>
        </w:rPr>
        <w:t>и преглед квалитета првог тома,</w:t>
      </w:r>
      <w:r w:rsidR="00144E88">
        <w:rPr>
          <w:lang w:val="sr-Cyrl-RS"/>
        </w:rPr>
        <w:t xml:space="preserve"> уз </w:t>
      </w:r>
      <w:r>
        <w:rPr>
          <w:lang w:val="sr-Cyrl-RS"/>
        </w:rPr>
        <w:t xml:space="preserve">посебан </w:t>
      </w:r>
      <w:r w:rsidR="00144E88">
        <w:rPr>
          <w:lang w:val="sr-Cyrl-RS"/>
        </w:rPr>
        <w:t>осврт на уреднички поступак</w:t>
      </w:r>
      <w:r>
        <w:rPr>
          <w:lang w:val="sr-Cyrl-RS"/>
        </w:rPr>
        <w:t xml:space="preserve">, кохерентност публикације у целини и њену научну актуелност.  </w:t>
      </w:r>
    </w:p>
    <w:p w14:paraId="679BD261" w14:textId="77777777" w:rsidR="002B3C22" w:rsidRPr="00AA452E" w:rsidRDefault="00127529" w:rsidP="00AA2917">
      <w:pPr>
        <w:ind w:firstLine="720"/>
        <w:jc w:val="both"/>
        <w:rPr>
          <w:iCs/>
          <w:color w:val="FF0000"/>
          <w:lang w:val="sr-Latn-CS"/>
        </w:rPr>
      </w:pPr>
      <w:r>
        <w:rPr>
          <w:lang w:val="sr-Cyrl-RS"/>
        </w:rPr>
        <w:t>Зборник са сваког скупа, и када је тема уже одређена, по природи је изложен проблему</w:t>
      </w:r>
      <w:r w:rsidR="00761B5A">
        <w:rPr>
          <w:lang w:val="sr-Cyrl-RS"/>
        </w:rPr>
        <w:t xml:space="preserve"> кохерентно</w:t>
      </w:r>
      <w:r>
        <w:rPr>
          <w:lang w:val="sr-Cyrl-RS"/>
        </w:rPr>
        <w:t>сти. Тема овога скупа</w:t>
      </w:r>
      <w:r w:rsidR="00761B5A">
        <w:rPr>
          <w:lang w:val="sr-Cyrl-RS"/>
        </w:rPr>
        <w:t xml:space="preserve"> </w:t>
      </w:r>
      <w:r>
        <w:rPr>
          <w:lang w:val="sr-Cyrl-RS"/>
        </w:rPr>
        <w:t>била је веома широко постављена</w:t>
      </w:r>
      <w:r w:rsidR="00AF19C8">
        <w:rPr>
          <w:lang w:val="sr-Cyrl-RS"/>
        </w:rPr>
        <w:t>, наткриљена само кључним термином као одредницом која је сама по себи дозвол</w:t>
      </w:r>
      <w:r w:rsidR="00AA2917">
        <w:rPr>
          <w:lang w:val="sr-Cyrl-RS"/>
        </w:rPr>
        <w:t>и</w:t>
      </w:r>
      <w:r w:rsidR="00AF19C8">
        <w:rPr>
          <w:lang w:val="sr-Cyrl-RS"/>
        </w:rPr>
        <w:t>ла</w:t>
      </w:r>
      <w:r w:rsidR="00AA2917">
        <w:rPr>
          <w:lang w:val="sr-Cyrl-RS"/>
        </w:rPr>
        <w:t xml:space="preserve"> дисперзију методолошких приступа (па и разматрање алтернативности у самој методологији), корпусних и тематских оквира. У позиву такође нису назначене подтеме или могући правци, него се циљ веома широко одређује: „Циљ конференције [...] јесте да размотри и истражи повезаност између језика, књижевности и алтернатива у оквиру ових области. То може укључивати критичко разматрање различитих алтернативних теоријских и методолошких приступа питањима из области језика, књижевности и студија културе, алтернативе које књижевна дела нуде владајућим идеолошким погледима на свет, алтернативе књижевно-језичким канонима, анализе алтернативних књижевних форми или алтернативних језичких конструкција, као и друге теме које се баве алтернативама у широком смислу у датим областима“. </w:t>
      </w:r>
    </w:p>
    <w:p w14:paraId="5FE2BE76" w14:textId="77777777" w:rsidR="00761B5A" w:rsidRDefault="00AA2917" w:rsidP="00127529">
      <w:pPr>
        <w:ind w:firstLine="720"/>
        <w:jc w:val="both"/>
        <w:rPr>
          <w:lang w:val="sr-Latn-RS"/>
        </w:rPr>
      </w:pPr>
      <w:r w:rsidRPr="00AA2917">
        <w:rPr>
          <w:lang w:val="sr-Cyrl-RS"/>
        </w:rPr>
        <w:t>А</w:t>
      </w:r>
      <w:r w:rsidR="00761B5A" w:rsidRPr="00AA2917">
        <w:rPr>
          <w:lang w:val="sr-Cyrl-RS"/>
        </w:rPr>
        <w:t>лтернативност</w:t>
      </w:r>
      <w:r>
        <w:rPr>
          <w:lang w:val="sr-Cyrl-RS"/>
        </w:rPr>
        <w:t>,</w:t>
      </w:r>
      <w:r w:rsidR="00761B5A" w:rsidRPr="00AA2917">
        <w:rPr>
          <w:lang w:val="sr-Cyrl-RS"/>
        </w:rPr>
        <w:t xml:space="preserve"> постављена као темељна</w:t>
      </w:r>
      <w:r>
        <w:rPr>
          <w:lang w:val="sr-Cyrl-RS"/>
        </w:rPr>
        <w:t xml:space="preserve"> а опет готово неограничена </w:t>
      </w:r>
      <w:r w:rsidRPr="00AA2917">
        <w:rPr>
          <w:lang w:val="sr-Cyrl-RS"/>
        </w:rPr>
        <w:t xml:space="preserve"> одредница</w:t>
      </w:r>
      <w:r>
        <w:rPr>
          <w:lang w:val="sr-Cyrl-RS"/>
        </w:rPr>
        <w:t xml:space="preserve"> конференције, </w:t>
      </w:r>
      <w:r w:rsidRPr="00AA2917">
        <w:rPr>
          <w:lang w:val="sr-Cyrl-RS"/>
        </w:rPr>
        <w:t>морала је</w:t>
      </w:r>
      <w:r w:rsidR="00761B5A" w:rsidRPr="00AA2917">
        <w:rPr>
          <w:lang w:val="sr-Cyrl-RS"/>
        </w:rPr>
        <w:t xml:space="preserve"> представљати озбиљ</w:t>
      </w:r>
      <w:r w:rsidR="00761B5A">
        <w:rPr>
          <w:lang w:val="sr-Cyrl-RS"/>
        </w:rPr>
        <w:t>ан изазов</w:t>
      </w:r>
      <w:r>
        <w:rPr>
          <w:lang w:val="sr-Cyrl-RS"/>
        </w:rPr>
        <w:t xml:space="preserve"> уредницама зборника, програмском одбору конференције, па и самим ауторима. </w:t>
      </w:r>
      <w:r w:rsidR="00C31614">
        <w:rPr>
          <w:lang w:val="sr-Cyrl-RS"/>
        </w:rPr>
        <w:t xml:space="preserve">Поред потенцијалне неуклопивости радова </w:t>
      </w:r>
      <w:r w:rsidR="00CC689B">
        <w:rPr>
          <w:lang w:val="sr-Cyrl-RS"/>
        </w:rPr>
        <w:t>у</w:t>
      </w:r>
      <w:r w:rsidR="00C31614">
        <w:rPr>
          <w:lang w:val="sr-Cyrl-RS"/>
        </w:rPr>
        <w:t xml:space="preserve"> било какав логичан поредак</w:t>
      </w:r>
      <w:r>
        <w:rPr>
          <w:lang w:val="sr-Cyrl-RS"/>
        </w:rPr>
        <w:t xml:space="preserve">, </w:t>
      </w:r>
      <w:r w:rsidR="00CC689B">
        <w:rPr>
          <w:lang w:val="sr-Cyrl-RS"/>
        </w:rPr>
        <w:t>вероватно</w:t>
      </w:r>
      <w:r w:rsidR="00C31614">
        <w:rPr>
          <w:lang w:val="sr-Cyrl-RS"/>
        </w:rPr>
        <w:t xml:space="preserve"> </w:t>
      </w:r>
      <w:r w:rsidR="00CC689B">
        <w:rPr>
          <w:lang w:val="sr-Cyrl-RS"/>
        </w:rPr>
        <w:t>с</w:t>
      </w:r>
      <w:r w:rsidR="00C31614">
        <w:rPr>
          <w:lang w:val="sr-Cyrl-RS"/>
        </w:rPr>
        <w:t>е</w:t>
      </w:r>
      <w:r w:rsidR="00CC689B">
        <w:rPr>
          <w:lang w:val="sr-Cyrl-RS"/>
        </w:rPr>
        <w:t xml:space="preserve"> – сасвим у другом правцу –</w:t>
      </w:r>
      <w:r w:rsidR="00C31614">
        <w:rPr>
          <w:lang w:val="sr-Cyrl-RS"/>
        </w:rPr>
        <w:t xml:space="preserve"> </w:t>
      </w:r>
      <w:r>
        <w:rPr>
          <w:lang w:val="sr-Cyrl-RS"/>
        </w:rPr>
        <w:t xml:space="preserve">нека од рубних или под овај термин потпадајућих одредница </w:t>
      </w:r>
      <w:r w:rsidR="00C31614">
        <w:rPr>
          <w:lang w:val="sr-Cyrl-RS"/>
        </w:rPr>
        <w:t xml:space="preserve">могла </w:t>
      </w:r>
      <w:r>
        <w:rPr>
          <w:lang w:val="sr-Cyrl-RS"/>
        </w:rPr>
        <w:t>наметн</w:t>
      </w:r>
      <w:r w:rsidR="00C31614">
        <w:rPr>
          <w:lang w:val="sr-Cyrl-RS"/>
        </w:rPr>
        <w:t>ути</w:t>
      </w:r>
      <w:r>
        <w:rPr>
          <w:lang w:val="sr-Cyrl-RS"/>
        </w:rPr>
        <w:t xml:space="preserve"> као доминантна</w:t>
      </w:r>
      <w:r w:rsidR="00FD16CD">
        <w:rPr>
          <w:lang w:val="sr-Cyrl-RS"/>
        </w:rPr>
        <w:t>. А у зборнику су све ове одреднице присутне као главни предмет или</w:t>
      </w:r>
      <w:r>
        <w:rPr>
          <w:lang w:val="sr-Cyrl-RS"/>
        </w:rPr>
        <w:t xml:space="preserve"> </w:t>
      </w:r>
      <w:r w:rsidR="00FD16CD">
        <w:rPr>
          <w:lang w:val="sr-Cyrl-RS"/>
        </w:rPr>
        <w:t xml:space="preserve">побочни контекст радова: </w:t>
      </w:r>
      <w:r w:rsidR="00900B84">
        <w:rPr>
          <w:lang w:val="sr-Cyrl-RS"/>
        </w:rPr>
        <w:t>иновативност</w:t>
      </w:r>
      <w:r w:rsidR="00C31614">
        <w:rPr>
          <w:lang w:val="sr-Cyrl-RS"/>
        </w:rPr>
        <w:t xml:space="preserve"> и искорак</w:t>
      </w:r>
      <w:r w:rsidR="00900B84">
        <w:rPr>
          <w:lang w:val="sr-Cyrl-RS"/>
        </w:rPr>
        <w:t xml:space="preserve"> у култури и</w:t>
      </w:r>
      <w:r w:rsidR="00C31614">
        <w:rPr>
          <w:lang w:val="sr-Cyrl-RS"/>
        </w:rPr>
        <w:t xml:space="preserve"> уметности</w:t>
      </w:r>
      <w:r w:rsidR="00F749D2">
        <w:rPr>
          <w:lang w:val="sr-Cyrl-RS"/>
        </w:rPr>
        <w:t>,</w:t>
      </w:r>
      <w:r w:rsidR="00C31614">
        <w:rPr>
          <w:lang w:val="sr-Cyrl-RS"/>
        </w:rPr>
        <w:t xml:space="preserve"> </w:t>
      </w:r>
      <w:r>
        <w:rPr>
          <w:lang w:val="sr-Cyrl-RS"/>
        </w:rPr>
        <w:t xml:space="preserve">синонимија, </w:t>
      </w:r>
      <w:r w:rsidR="00900B84">
        <w:rPr>
          <w:lang w:val="sr-Cyrl-RS"/>
        </w:rPr>
        <w:t>еквивалентност, наизменичност,</w:t>
      </w:r>
      <w:r w:rsidR="00C31614">
        <w:rPr>
          <w:lang w:val="sr-Cyrl-RS"/>
        </w:rPr>
        <w:t xml:space="preserve"> отклон од устаљених медијских форми и канала</w:t>
      </w:r>
      <w:r w:rsidR="00FD16CD">
        <w:rPr>
          <w:lang w:val="sr-Cyrl-RS"/>
        </w:rPr>
        <w:t xml:space="preserve">, </w:t>
      </w:r>
      <w:r w:rsidR="003C55D3">
        <w:rPr>
          <w:lang w:val="sr-Cyrl-RS"/>
        </w:rPr>
        <w:t>адаптација жанра</w:t>
      </w:r>
      <w:r w:rsidR="00C31614">
        <w:rPr>
          <w:lang w:val="sr-Cyrl-RS"/>
        </w:rPr>
        <w:t>...</w:t>
      </w:r>
    </w:p>
    <w:p w14:paraId="18B18BF0" w14:textId="77777777" w:rsidR="006A3F99" w:rsidRDefault="003C55D3" w:rsidP="00F60DBD">
      <w:pPr>
        <w:ind w:firstLine="720"/>
        <w:jc w:val="both"/>
        <w:rPr>
          <w:lang w:val="sr-Cyrl-RS"/>
        </w:rPr>
      </w:pPr>
      <w:r>
        <w:rPr>
          <w:lang w:val="sr-Cyrl-RS"/>
        </w:rPr>
        <w:t>Но, у</w:t>
      </w:r>
      <w:r w:rsidR="006A3F99">
        <w:rPr>
          <w:lang w:val="sr-Cyrl-RS"/>
        </w:rPr>
        <w:t>реднице Биљана Мишић Илић и Весна Лопичић су</w:t>
      </w:r>
      <w:r>
        <w:rPr>
          <w:lang w:val="sr-Cyrl-RS"/>
        </w:rPr>
        <w:t xml:space="preserve"> свакако и рачунале с овим „опасностима“ и изазовима. Применивши</w:t>
      </w:r>
      <w:r w:rsidR="00393C94">
        <w:rPr>
          <w:lang w:val="sr-Cyrl-RS"/>
        </w:rPr>
        <w:t xml:space="preserve"> као основни</w:t>
      </w:r>
      <w:r>
        <w:rPr>
          <w:lang w:val="sr-Cyrl-RS"/>
        </w:rPr>
        <w:t xml:space="preserve"> постулат </w:t>
      </w:r>
      <w:r w:rsidR="00F60DBD">
        <w:rPr>
          <w:lang w:val="sr-Cyrl-RS"/>
        </w:rPr>
        <w:t>проблемско уланчавање</w:t>
      </w:r>
      <w:r>
        <w:rPr>
          <w:lang w:val="sr-Cyrl-RS"/>
        </w:rPr>
        <w:t xml:space="preserve">, </w:t>
      </w:r>
      <w:r w:rsidR="006A3F99">
        <w:rPr>
          <w:lang w:val="sr-Cyrl-RS"/>
        </w:rPr>
        <w:t>пажљивим одређењем редоследа радова</w:t>
      </w:r>
      <w:r>
        <w:rPr>
          <w:lang w:val="sr-Cyrl-RS"/>
        </w:rPr>
        <w:t xml:space="preserve"> креирале су</w:t>
      </w:r>
      <w:r w:rsidR="006A3F99">
        <w:rPr>
          <w:lang w:val="sr-Cyrl-RS"/>
        </w:rPr>
        <w:t xml:space="preserve"> једну мозаичку али по свему кохерентну и логичну целину</w:t>
      </w:r>
      <w:r>
        <w:rPr>
          <w:lang w:val="sr-Cyrl-RS"/>
        </w:rPr>
        <w:t>.</w:t>
      </w:r>
    </w:p>
    <w:p w14:paraId="6E522C35" w14:textId="77777777" w:rsidR="007C4205" w:rsidRDefault="00931387" w:rsidP="007C4205">
      <w:pPr>
        <w:ind w:firstLine="720"/>
        <w:jc w:val="both"/>
        <w:rPr>
          <w:lang w:val="sr-Cyrl-RS"/>
        </w:rPr>
      </w:pPr>
      <w:r>
        <w:rPr>
          <w:lang w:val="sr-Cyrl-RS"/>
        </w:rPr>
        <w:t>Том се састоји од обимног уводног чланка уредница „Алтернативе у језичком систему и језичкој употреби“, у којем управо откривају принципе структурирања зборника, синтетички расветљујући обједињеност</w:t>
      </w:r>
      <w:r w:rsidR="007C4205">
        <w:rPr>
          <w:lang w:val="sr-Cyrl-RS"/>
        </w:rPr>
        <w:t xml:space="preserve"> сегмената и мањих целина у оквиру већих делова, </w:t>
      </w:r>
      <w:r>
        <w:rPr>
          <w:lang w:val="sr-Cyrl-RS"/>
        </w:rPr>
        <w:t xml:space="preserve">а аналитички </w:t>
      </w:r>
      <w:r w:rsidR="007C4205">
        <w:rPr>
          <w:lang w:val="sr-Cyrl-RS"/>
        </w:rPr>
        <w:t xml:space="preserve">детаљно </w:t>
      </w:r>
      <w:r>
        <w:rPr>
          <w:lang w:val="sr-Cyrl-RS"/>
        </w:rPr>
        <w:t>представљају</w:t>
      </w:r>
      <w:r w:rsidR="007C4205">
        <w:rPr>
          <w:lang w:val="sr-Cyrl-RS"/>
        </w:rPr>
        <w:t>ћи</w:t>
      </w:r>
      <w:r>
        <w:rPr>
          <w:lang w:val="sr-Cyrl-RS"/>
        </w:rPr>
        <w:t xml:space="preserve"> рад по рад. Следи тридесет шест </w:t>
      </w:r>
      <w:r>
        <w:rPr>
          <w:lang w:val="sr-Cyrl-RS"/>
        </w:rPr>
        <w:lastRenderedPageBreak/>
        <w:t xml:space="preserve">радова који су груписани у три сегмента: </w:t>
      </w:r>
      <w:r>
        <w:rPr>
          <w:i/>
          <w:lang w:val="sr-Cyrl-RS"/>
        </w:rPr>
        <w:t>Алтернативност и алтернативе у језичком систему и језичкој теорији</w:t>
      </w:r>
      <w:r w:rsidR="00144E88">
        <w:rPr>
          <w:lang w:val="sr-Cyrl-RS"/>
        </w:rPr>
        <w:t xml:space="preserve">, </w:t>
      </w:r>
      <w:r w:rsidR="00144E88">
        <w:rPr>
          <w:i/>
          <w:lang w:val="sr-Cyrl-RS"/>
        </w:rPr>
        <w:t xml:space="preserve">Алтернативе у употреби језика </w:t>
      </w:r>
      <w:r w:rsidR="00144E88">
        <w:rPr>
          <w:lang w:val="sr-Cyrl-RS"/>
        </w:rPr>
        <w:t xml:space="preserve">и </w:t>
      </w:r>
      <w:r w:rsidR="00144E88">
        <w:rPr>
          <w:i/>
          <w:lang w:val="sr-Cyrl-RS"/>
        </w:rPr>
        <w:t>Алтернативе и алтернативни приступи у настави страних језика</w:t>
      </w:r>
      <w:r w:rsidR="00144E88">
        <w:rPr>
          <w:lang w:val="sr-Cyrl-RS"/>
        </w:rPr>
        <w:t>.</w:t>
      </w:r>
    </w:p>
    <w:p w14:paraId="6176EC08" w14:textId="77777777" w:rsidR="00AA452E" w:rsidRPr="007C4205" w:rsidRDefault="008E0C31" w:rsidP="007C4205">
      <w:pPr>
        <w:ind w:firstLine="720"/>
        <w:jc w:val="both"/>
        <w:rPr>
          <w:lang w:val="sr-Cyrl-RS"/>
        </w:rPr>
      </w:pPr>
      <w:r>
        <w:rPr>
          <w:lang w:val="sr-Cyrl-RS"/>
        </w:rPr>
        <w:t>Већ у насловима сегмената варира се кључни термин конференције и зборника</w:t>
      </w:r>
      <w:r w:rsidR="00983A3D">
        <w:rPr>
          <w:lang w:val="sr-Cyrl-RS"/>
        </w:rPr>
        <w:t>. Међутим, то се не чини варирања ради, него се на тај начин прецизира сам опсег алтернативности – на нивоу теорије и методологије (</w:t>
      </w:r>
      <w:r w:rsidR="00983A3D">
        <w:rPr>
          <w:i/>
          <w:lang w:val="sr-Cyrl-RS"/>
        </w:rPr>
        <w:t>алтернативност</w:t>
      </w:r>
      <w:r w:rsidR="00983A3D">
        <w:rPr>
          <w:lang w:val="sr-Cyrl-RS"/>
        </w:rPr>
        <w:t>), на нивоу избора у језичком систему и употреби (</w:t>
      </w:r>
      <w:r w:rsidR="00983A3D">
        <w:rPr>
          <w:i/>
          <w:lang w:val="sr-Cyrl-RS"/>
        </w:rPr>
        <w:t>алтернативе</w:t>
      </w:r>
      <w:r w:rsidR="00983A3D">
        <w:rPr>
          <w:lang w:val="sr-Cyrl-RS"/>
        </w:rPr>
        <w:t>), те на нивоу примењене лингвистике (</w:t>
      </w:r>
      <w:r w:rsidR="00983A3D">
        <w:rPr>
          <w:i/>
          <w:lang w:val="sr-Cyrl-RS"/>
        </w:rPr>
        <w:t>алтернативни приступи</w:t>
      </w:r>
      <w:r w:rsidR="00983A3D">
        <w:rPr>
          <w:lang w:val="sr-Cyrl-RS"/>
        </w:rPr>
        <w:t>).</w:t>
      </w:r>
      <w:r w:rsidR="00BC36D5" w:rsidRPr="00620303">
        <w:rPr>
          <w:lang w:val="sr-Cyrl-RS"/>
        </w:rPr>
        <w:t xml:space="preserve"> </w:t>
      </w:r>
    </w:p>
    <w:p w14:paraId="2A49D5A2" w14:textId="77777777" w:rsidR="00843AE1" w:rsidRDefault="00983A3D" w:rsidP="001228F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Три сегмента, формирана логиком претакања </w:t>
      </w:r>
      <w:r w:rsidR="007C4205">
        <w:rPr>
          <w:lang w:val="sr-Cyrl-RS"/>
        </w:rPr>
        <w:t xml:space="preserve">претходног </w:t>
      </w:r>
      <w:r>
        <w:rPr>
          <w:lang w:val="sr-Cyrl-RS"/>
        </w:rPr>
        <w:t>пробле</w:t>
      </w:r>
      <w:r w:rsidR="007C4205">
        <w:rPr>
          <w:lang w:val="sr-Cyrl-RS"/>
        </w:rPr>
        <w:t xml:space="preserve">ма у наредни, </w:t>
      </w:r>
      <w:r>
        <w:rPr>
          <w:lang w:val="sr-Cyrl-RS"/>
        </w:rPr>
        <w:t>нису слична по обиму, односно по броју радова. Први је, са двадесет прилога, више но двоструко надмашио други (са девет радова) и готово троструко надмашио трећи (са седам радова). Тако се може говорити о доминацији обима првог сегмента и сличној заступљености прилога у друга два. То истов</w:t>
      </w:r>
      <w:r w:rsidR="001228F9">
        <w:rPr>
          <w:lang w:val="sr-Cyrl-RS"/>
        </w:rPr>
        <w:t>р</w:t>
      </w:r>
      <w:r>
        <w:rPr>
          <w:lang w:val="sr-Cyrl-RS"/>
        </w:rPr>
        <w:t>емено може бити и солидан индикатор усмерености истраживачког интересовања у</w:t>
      </w:r>
      <w:r w:rsidR="00843AE1">
        <w:rPr>
          <w:lang w:val="sr-Cyrl-RS"/>
        </w:rPr>
        <w:t xml:space="preserve"> овом моменту. </w:t>
      </w:r>
      <w:r w:rsidR="001228F9">
        <w:rPr>
          <w:lang w:val="sr-Cyrl-RS"/>
        </w:rPr>
        <w:t xml:space="preserve">Поред те асиметрије, ретки су и радови који укључују фонетику и фонологију, а у блоку радова усмерених на наставу потпуно изостаје методика наставе српског као матерњег језика. </w:t>
      </w:r>
      <w:r w:rsidR="00843AE1">
        <w:rPr>
          <w:lang w:val="sr-Cyrl-RS"/>
        </w:rPr>
        <w:t>Ипак, посебно богатство зборника чини то што су радови расветлили појаву алтернативности и алтернатива на материјалу више језика: с</w:t>
      </w:r>
      <w:r w:rsidR="003A4BF2">
        <w:rPr>
          <w:lang w:val="sr-Cyrl-RS"/>
        </w:rPr>
        <w:t>рпск</w:t>
      </w:r>
      <w:r w:rsidR="00843AE1">
        <w:rPr>
          <w:lang w:val="sr-Cyrl-RS"/>
        </w:rPr>
        <w:t>ог,</w:t>
      </w:r>
      <w:r w:rsidR="003A4BF2">
        <w:rPr>
          <w:lang w:val="sr-Cyrl-RS"/>
        </w:rPr>
        <w:t xml:space="preserve"> енглеск</w:t>
      </w:r>
      <w:r w:rsidR="00843AE1">
        <w:rPr>
          <w:lang w:val="sr-Cyrl-RS"/>
        </w:rPr>
        <w:t>ог,</w:t>
      </w:r>
      <w:r w:rsidR="003A4BF2">
        <w:rPr>
          <w:lang w:val="sr-Cyrl-RS"/>
        </w:rPr>
        <w:t xml:space="preserve"> француск</w:t>
      </w:r>
      <w:r w:rsidR="00843AE1">
        <w:rPr>
          <w:lang w:val="sr-Cyrl-RS"/>
        </w:rPr>
        <w:t>ог,</w:t>
      </w:r>
      <w:r w:rsidR="007A2D87">
        <w:rPr>
          <w:lang w:val="sr-Cyrl-RS"/>
        </w:rPr>
        <w:t xml:space="preserve"> </w:t>
      </w:r>
      <w:r w:rsidR="003A4BF2">
        <w:rPr>
          <w:lang w:val="sr-Cyrl-RS"/>
        </w:rPr>
        <w:t>руск</w:t>
      </w:r>
      <w:r w:rsidR="00843AE1">
        <w:rPr>
          <w:lang w:val="sr-Cyrl-RS"/>
        </w:rPr>
        <w:t>ог.</w:t>
      </w:r>
    </w:p>
    <w:p w14:paraId="6D9582D0" w14:textId="77777777" w:rsidR="00CF4D9D" w:rsidRDefault="00843AE1" w:rsidP="001228F9">
      <w:pPr>
        <w:ind w:firstLine="720"/>
        <w:jc w:val="both"/>
        <w:rPr>
          <w:lang w:val="sr-Cyrl-RS"/>
        </w:rPr>
      </w:pPr>
      <w:r>
        <w:rPr>
          <w:lang w:val="sr-Cyrl-RS"/>
        </w:rPr>
        <w:t xml:space="preserve">Уреднице с пуним правом на прво место овог тома стављају рад професора Милоша Ковачевића „(Не)граматикализована алтернативност у односу на дисјункцију у савременом српском језику“. У раду се разрешава </w:t>
      </w:r>
      <w:r w:rsidR="00A20F20">
        <w:rPr>
          <w:lang w:val="sr-Cyrl-RS"/>
        </w:rPr>
        <w:t>проблем граматикализованости алтернативности у српском језику, али са веома широким увидом (филозофским</w:t>
      </w:r>
      <w:r w:rsidR="00C4003B">
        <w:rPr>
          <w:lang w:val="sr-Cyrl-RS"/>
        </w:rPr>
        <w:t xml:space="preserve"> </w:t>
      </w:r>
      <w:r w:rsidR="00A20F20">
        <w:rPr>
          <w:lang w:val="sr-Cyrl-RS"/>
        </w:rPr>
        <w:t>и лингвистичким) у значење алтернативности. Ковачевић показује да је од три издвојена значења алтернативности – а то су избор, еквивалентност и наизменичност – само значење избора граматикализовано као дисјунктивно. Следи још шест радова који се баве синтаксичким проблемима у контексту алтернативности и алтернатива, од којих се један бави антецедентом релативне клаузе, два укључују питања реченичног фокуса, а наредна три третирају питања алтернативности у контрастивној перспективи (српски – француски</w:t>
      </w:r>
      <w:r w:rsidR="005B7C41">
        <w:rPr>
          <w:lang w:val="sr-Cyrl-RS"/>
        </w:rPr>
        <w:t>/руски/</w:t>
      </w:r>
      <w:r w:rsidR="00A20F20">
        <w:rPr>
          <w:lang w:val="sr-Cyrl-RS"/>
        </w:rPr>
        <w:t>е</w:t>
      </w:r>
      <w:r w:rsidR="00A20F20" w:rsidRPr="005B503C">
        <w:rPr>
          <w:lang w:val="sr-Cyrl-RS"/>
        </w:rPr>
        <w:t xml:space="preserve">нглески). Последњи од њих, </w:t>
      </w:r>
      <w:r w:rsidR="00983A3D" w:rsidRPr="005B503C">
        <w:rPr>
          <w:lang w:val="sr-Latn-RS"/>
        </w:rPr>
        <w:t>,,Collostructional Insights into Alternative Constructions in TEFL Perspective</w:t>
      </w:r>
      <w:r w:rsidR="00983A3D" w:rsidRPr="005B503C">
        <w:rPr>
          <w:lang w:val="sr-Cyrl-CS"/>
        </w:rPr>
        <w:t>ˮ</w:t>
      </w:r>
      <w:r w:rsidR="00A20F20" w:rsidRPr="005B503C">
        <w:rPr>
          <w:lang w:val="sr-Cyrl-CS"/>
        </w:rPr>
        <w:t xml:space="preserve">, укључује и осврт на </w:t>
      </w:r>
      <w:r w:rsidR="00983A3D" w:rsidRPr="005B503C">
        <w:rPr>
          <w:lang w:val="sr-Latn-RS"/>
        </w:rPr>
        <w:t xml:space="preserve"> </w:t>
      </w:r>
      <w:r w:rsidR="00A20F20" w:rsidRPr="005B503C">
        <w:rPr>
          <w:lang w:val="sr-Cyrl-RS"/>
        </w:rPr>
        <w:t>литературу која се користи у настави енглеског језика као страног</w:t>
      </w:r>
      <w:r w:rsidR="00CF4D9D">
        <w:rPr>
          <w:lang w:val="sr-Cyrl-RS"/>
        </w:rPr>
        <w:t xml:space="preserve">. </w:t>
      </w:r>
      <w:r w:rsidR="005B503C" w:rsidRPr="005B503C">
        <w:rPr>
          <w:lang w:val="sr-Cyrl-RS"/>
        </w:rPr>
        <w:t>Стога би се овај рад могао при</w:t>
      </w:r>
      <w:r w:rsidR="005B7C41">
        <w:rPr>
          <w:lang w:val="sr-Cyrl-RS"/>
        </w:rPr>
        <w:t>појити</w:t>
      </w:r>
      <w:r w:rsidR="005B503C" w:rsidRPr="005B503C">
        <w:rPr>
          <w:lang w:val="sr-Cyrl-RS"/>
        </w:rPr>
        <w:t xml:space="preserve"> и трећем сегменту зборника, али се уреднице одлучују да га прикључе првом, што је адекватније решење с обзиром на</w:t>
      </w:r>
      <w:r w:rsidR="005B503C">
        <w:rPr>
          <w:lang w:val="sr-Cyrl-RS"/>
        </w:rPr>
        <w:t xml:space="preserve"> фокус и методолошки доминантан оквир трећег сегмента (мотивација, постигнућа, истраживања са испитаницима који похађају наставу страног језика и сл.).</w:t>
      </w:r>
    </w:p>
    <w:p w14:paraId="1BC85309" w14:textId="77777777" w:rsidR="00773442" w:rsidRDefault="00CF4D9D" w:rsidP="00C33A96">
      <w:pPr>
        <w:ind w:firstLine="720"/>
        <w:jc w:val="both"/>
        <w:rPr>
          <w:lang w:val="sr-Cyrl-RS"/>
        </w:rPr>
      </w:pPr>
      <w:r>
        <w:rPr>
          <w:lang w:val="sr-Cyrl-RS"/>
        </w:rPr>
        <w:t>Исти број радова (седам) бави се морфолошким питањима, и то: творбом речи (три чланка), аналитичком компарацијом, глаголским категоријама, категоријом рода. Доминира контрастивна перспектива, односно само два рада, а оба за предмет имају суфиксе, су „чисто“ србистичка.</w:t>
      </w:r>
    </w:p>
    <w:p w14:paraId="6F264247" w14:textId="77777777" w:rsidR="00995534" w:rsidRDefault="00773442" w:rsidP="00C33A96">
      <w:pPr>
        <w:ind w:firstLine="720"/>
        <w:jc w:val="both"/>
        <w:rPr>
          <w:lang w:val="ru-RU"/>
        </w:rPr>
      </w:pPr>
      <w:r>
        <w:rPr>
          <w:lang w:val="sr-Cyrl-RS"/>
        </w:rPr>
        <w:t>Наредна група од три рада јесте прилично хетерогена, али формира невелику целину која се превасходно односи на лексику. Први, који се бави семантичком анализом лексема са значењем „заова“ у говорима призренско-тимочке зоне, кореспондира са два рада из другог сегмента зборника (везан</w:t>
      </w:r>
      <w:r w:rsidR="00C33A96">
        <w:rPr>
          <w:lang w:val="sr-Cyrl-RS"/>
        </w:rPr>
        <w:t>а</w:t>
      </w:r>
      <w:r>
        <w:rPr>
          <w:lang w:val="sr-Cyrl-RS"/>
        </w:rPr>
        <w:t xml:space="preserve"> за призренско-тимочки и косовско-ресавски дијалекат). Ипак, овде претеже дистинкција „у систему“ : „у употреби“, као основн</w:t>
      </w:r>
      <w:r w:rsidR="005065E3">
        <w:rPr>
          <w:lang w:val="sr-Cyrl-RS"/>
        </w:rPr>
        <w:t>о и насловима сегмената истакнуто критеријално одређење целина</w:t>
      </w:r>
      <w:r w:rsidR="00E7536B">
        <w:rPr>
          <w:lang w:val="sr-Cyrl-RS"/>
        </w:rPr>
        <w:t>. На граници између ова два сегмента зборник</w:t>
      </w:r>
      <w:r w:rsidR="00E7536B" w:rsidRPr="00995534">
        <w:rPr>
          <w:lang w:val="sr-Cyrl-RS"/>
        </w:rPr>
        <w:t xml:space="preserve">а је и рад </w:t>
      </w:r>
      <w:r w:rsidR="00E7536B" w:rsidRPr="00995534">
        <w:rPr>
          <w:bCs/>
          <w:lang w:val="sr-Latn-RS"/>
        </w:rPr>
        <w:t xml:space="preserve">,,Alternative Euphemisms: Investigating the Presence ff </w:t>
      </w:r>
      <w:r w:rsidR="00E7536B" w:rsidRPr="00995534">
        <w:rPr>
          <w:bCs/>
          <w:lang w:val="sr-Cyrl-RS"/>
        </w:rPr>
        <w:lastRenderedPageBreak/>
        <w:t>`</w:t>
      </w:r>
      <w:r w:rsidR="00E7536B" w:rsidRPr="00995534">
        <w:rPr>
          <w:bCs/>
          <w:lang w:val="sr-Latn-RS"/>
        </w:rPr>
        <w:t>People-First</w:t>
      </w:r>
      <w:r w:rsidR="00E7536B" w:rsidRPr="00995534">
        <w:rPr>
          <w:bCs/>
          <w:lang w:val="sr-Cyrl-RS"/>
        </w:rPr>
        <w:t>`</w:t>
      </w:r>
      <w:r w:rsidR="00E7536B" w:rsidRPr="00995534">
        <w:rPr>
          <w:bCs/>
          <w:lang w:val="sr-Latn-RS"/>
        </w:rPr>
        <w:t xml:space="preserve"> Expressions in the Coca Corpus</w:t>
      </w:r>
      <w:r w:rsidR="00E7536B" w:rsidRPr="00995534">
        <w:rPr>
          <w:lang w:val="ru-RU"/>
        </w:rPr>
        <w:t>ˮ</w:t>
      </w:r>
      <w:r w:rsidR="00995534" w:rsidRPr="00995534">
        <w:rPr>
          <w:lang w:val="ru-RU"/>
        </w:rPr>
        <w:t xml:space="preserve">, с обзиром на то да, иако је корпус функционалностилски </w:t>
      </w:r>
      <w:r w:rsidR="00995534">
        <w:rPr>
          <w:lang w:val="ru-RU"/>
        </w:rPr>
        <w:t>немаркиран</w:t>
      </w:r>
      <w:r w:rsidR="00995534" w:rsidRPr="00995534">
        <w:rPr>
          <w:lang w:val="ru-RU"/>
        </w:rPr>
        <w:t>,</w:t>
      </w:r>
      <w:r w:rsidR="00995534">
        <w:rPr>
          <w:lang w:val="ru-RU"/>
        </w:rPr>
        <w:t xml:space="preserve"> еуфемизација с циљем политичке коректности макар има корене у одређеним типовима дискурса, ако није на њих и ограничена.</w:t>
      </w:r>
    </w:p>
    <w:p w14:paraId="29C99EF9" w14:textId="77777777" w:rsidR="00A063F5" w:rsidRPr="00A063F5" w:rsidRDefault="00A063F5" w:rsidP="005065E3">
      <w:pPr>
        <w:ind w:firstLine="720"/>
        <w:jc w:val="both"/>
        <w:rPr>
          <w:lang w:val="ru-RU"/>
        </w:rPr>
      </w:pPr>
      <w:r>
        <w:rPr>
          <w:lang w:val="ru-RU"/>
        </w:rPr>
        <w:t>На крају целине су три рада која се баве различитим проблемима (адаптација енглеске спортске терминологије у српском језику, реформа правописа енглеског језика, когнитивносемантички појмови утемељења и нивоа утемељења). Ове радове, међутим, повезује оквирни поглед на испитивање алтернатива у проучавању наведених питања, те, у односу на рад којим се з</w:t>
      </w:r>
      <w:r w:rsidRPr="00A063F5">
        <w:rPr>
          <w:lang w:val="ru-RU"/>
        </w:rPr>
        <w:t xml:space="preserve">борник отвара, на известан начин заокружују теоријско-методолошке проблеме. </w:t>
      </w:r>
    </w:p>
    <w:p w14:paraId="36E46FA1" w14:textId="77777777" w:rsidR="00921D5E" w:rsidRDefault="00A063F5" w:rsidP="005065E3">
      <w:pPr>
        <w:ind w:firstLine="720"/>
        <w:jc w:val="both"/>
        <w:rPr>
          <w:bCs/>
          <w:lang w:val="sr-Cyrl-RS"/>
        </w:rPr>
      </w:pPr>
      <w:r w:rsidRPr="00A063F5">
        <w:rPr>
          <w:lang w:val="ru-RU"/>
        </w:rPr>
        <w:t xml:space="preserve">Други сегмент, како </w:t>
      </w:r>
      <w:r>
        <w:rPr>
          <w:lang w:val="ru-RU"/>
        </w:rPr>
        <w:t xml:space="preserve">његов наслов недвосмислено сведочи, везан је за језичку употребу у разним сферама. Од девет радова, </w:t>
      </w:r>
      <w:r w:rsidR="008A0B06">
        <w:rPr>
          <w:lang w:val="ru-RU"/>
        </w:rPr>
        <w:t>два третирају питања дијалекта у употреби, и то у интеракцији са савременим упливом стандарда посредованим условима свакодневног живота (</w:t>
      </w:r>
      <w:r w:rsidR="008A0B06" w:rsidRPr="008A0B06">
        <w:rPr>
          <w:bCs/>
          <w:lang w:val="sr-Cyrl-RS"/>
        </w:rPr>
        <w:t>„</w:t>
      </w:r>
      <w:r w:rsidR="008A0B06">
        <w:rPr>
          <w:lang w:val="ru-RU"/>
        </w:rPr>
        <w:t>Однос употребе дијалекатских и стандарднојезичких форми у говору младих у Сиринићу</w:t>
      </w:r>
      <w:r w:rsidR="008A0B06" w:rsidRPr="008A0B06">
        <w:rPr>
          <w:lang w:val="sr-Cyrl-RS"/>
        </w:rPr>
        <w:t>“</w:t>
      </w:r>
      <w:r w:rsidR="008A0B06">
        <w:rPr>
          <w:lang w:val="sr-Cyrl-RS"/>
        </w:rPr>
        <w:t xml:space="preserve">), и у сасвим специфичном социокултурном оквиру провинцијског репа („Провинцијски реп као алтернативни језички и музички правац: </w:t>
      </w:r>
      <w:r w:rsidR="005065E3">
        <w:rPr>
          <w:lang w:val="sr-Cyrl-RS"/>
        </w:rPr>
        <w:t>е</w:t>
      </w:r>
      <w:r w:rsidR="008A0B06">
        <w:rPr>
          <w:lang w:val="sr-Cyrl-RS"/>
        </w:rPr>
        <w:t>лемен</w:t>
      </w:r>
      <w:r w:rsidR="008A0B06" w:rsidRPr="008A0B06">
        <w:rPr>
          <w:lang w:val="sr-Cyrl-RS"/>
        </w:rPr>
        <w:t xml:space="preserve">ти косовско-ресавског дијалекта у реп музици“). На ове радове надовезује се </w:t>
      </w:r>
      <w:r w:rsidR="008A0B06">
        <w:rPr>
          <w:lang w:val="sr-Cyrl-RS"/>
        </w:rPr>
        <w:t>прегледни чланак</w:t>
      </w:r>
      <w:r w:rsidR="008A0B06" w:rsidRPr="008A0B06">
        <w:rPr>
          <w:lang w:val="sr-Cyrl-RS"/>
        </w:rPr>
        <w:t xml:space="preserve"> </w:t>
      </w:r>
      <w:r w:rsidR="008A0B06" w:rsidRPr="008A0B06">
        <w:t>,,</w:t>
      </w:r>
      <w:r w:rsidR="008A0B06" w:rsidRPr="008A0B06">
        <w:rPr>
          <w:bCs/>
        </w:rPr>
        <w:t>The Expanding Circle under a Magnifying Glass: World Englishes in the European Contextˮ</w:t>
      </w:r>
      <w:r w:rsidR="008A0B06" w:rsidRPr="008A0B06">
        <w:rPr>
          <w:bCs/>
          <w:lang w:val="sr-Cyrl-RS"/>
        </w:rPr>
        <w:t xml:space="preserve">, </w:t>
      </w:r>
      <w:r w:rsidR="008A0B06">
        <w:rPr>
          <w:bCs/>
          <w:lang w:val="sr-Cyrl-RS"/>
        </w:rPr>
        <w:t>у којем се утврђује заступљеност истраживања варијетета енглеског језика</w:t>
      </w:r>
      <w:r w:rsidR="00852D7A">
        <w:rPr>
          <w:bCs/>
          <w:lang w:val="sr-Cyrl-RS"/>
        </w:rPr>
        <w:t xml:space="preserve"> у часопису </w:t>
      </w:r>
      <w:r w:rsidR="00852D7A" w:rsidRPr="00852D7A">
        <w:rPr>
          <w:bCs/>
          <w:i/>
        </w:rPr>
        <w:t>World Englishes</w:t>
      </w:r>
      <w:r w:rsidR="00852D7A">
        <w:rPr>
          <w:bCs/>
          <w:lang w:val="sr-Cyrl-RS"/>
        </w:rPr>
        <w:t>. След</w:t>
      </w:r>
      <w:r w:rsidR="00B42B3F">
        <w:rPr>
          <w:bCs/>
          <w:lang w:val="sr-Cyrl-RS"/>
        </w:rPr>
        <w:t>и</w:t>
      </w:r>
      <w:r w:rsidR="00852D7A">
        <w:rPr>
          <w:bCs/>
          <w:lang w:val="sr-Cyrl-RS"/>
        </w:rPr>
        <w:t xml:space="preserve"> шест радова у којим</w:t>
      </w:r>
      <w:r w:rsidR="00B42B3F">
        <w:rPr>
          <w:bCs/>
          <w:lang w:val="sr-Cyrl-RS"/>
        </w:rPr>
        <w:t>а аутори истражују језик медија. У прва три рада</w:t>
      </w:r>
      <w:r w:rsidR="00852D7A">
        <w:rPr>
          <w:bCs/>
          <w:lang w:val="sr-Cyrl-RS"/>
        </w:rPr>
        <w:t xml:space="preserve"> ов</w:t>
      </w:r>
      <w:r w:rsidR="002006DD">
        <w:rPr>
          <w:bCs/>
          <w:lang w:val="sr-Cyrl-RS"/>
        </w:rPr>
        <w:t>о</w:t>
      </w:r>
      <w:r w:rsidR="00B42B3F">
        <w:rPr>
          <w:bCs/>
          <w:lang w:val="sr-Cyrl-RS"/>
        </w:rPr>
        <w:t>г</w:t>
      </w:r>
      <w:r w:rsidR="00852D7A">
        <w:rPr>
          <w:bCs/>
          <w:lang w:val="sr-Cyrl-RS"/>
        </w:rPr>
        <w:t xml:space="preserve"> блок</w:t>
      </w:r>
      <w:r w:rsidR="00B42B3F">
        <w:rPr>
          <w:bCs/>
          <w:lang w:val="sr-Cyrl-RS"/>
        </w:rPr>
        <w:t>а</w:t>
      </w:r>
      <w:r w:rsidR="00852D7A">
        <w:rPr>
          <w:bCs/>
          <w:lang w:val="sr-Cyrl-RS"/>
        </w:rPr>
        <w:t xml:space="preserve">, како се чини, доминирају теме језика страха, мржње, </w:t>
      </w:r>
      <w:r w:rsidR="00A060DA">
        <w:rPr>
          <w:bCs/>
          <w:lang w:val="sr-Cyrl-RS"/>
        </w:rPr>
        <w:t xml:space="preserve">претње, опасности, </w:t>
      </w:r>
      <w:r w:rsidR="00B42B3F">
        <w:rPr>
          <w:bCs/>
          <w:lang w:val="sr-Cyrl-RS"/>
        </w:rPr>
        <w:t>селективног представљања стварности или представљања неактуелизованих аспеката стварности, док се у наредна три говори о иновацијама у форми и медијском каналу</w:t>
      </w:r>
      <w:r w:rsidR="00921D5E">
        <w:rPr>
          <w:bCs/>
          <w:lang w:val="sr-Cyrl-RS"/>
        </w:rPr>
        <w:t>, што укључује и „старе“ облике у новом медијском руху уз жанровску модификацију.</w:t>
      </w:r>
    </w:p>
    <w:p w14:paraId="749B3DAA" w14:textId="77777777" w:rsidR="00921D5E" w:rsidRDefault="00921D5E" w:rsidP="005065E3">
      <w:pPr>
        <w:ind w:firstLine="567"/>
        <w:jc w:val="both"/>
        <w:rPr>
          <w:lang w:val="sr-Cyrl-RS"/>
        </w:rPr>
      </w:pPr>
      <w:r>
        <w:rPr>
          <w:bCs/>
          <w:lang w:val="sr-Cyrl-RS"/>
        </w:rPr>
        <w:t>На крају, трећи сегмент зборника</w:t>
      </w:r>
      <w:r w:rsidR="00F12909">
        <w:rPr>
          <w:bCs/>
          <w:lang w:val="sr-Cyrl-RS"/>
        </w:rPr>
        <w:t>, који чини седам радова, више но остатак публикације</w:t>
      </w:r>
      <w:r w:rsidR="002006DD">
        <w:rPr>
          <w:bCs/>
          <w:lang w:val="sr-Cyrl-RS"/>
        </w:rPr>
        <w:t xml:space="preserve"> указује на</w:t>
      </w:r>
      <w:r w:rsidR="00F12909">
        <w:rPr>
          <w:bCs/>
          <w:lang w:val="sr-Cyrl-RS"/>
        </w:rPr>
        <w:t xml:space="preserve"> </w:t>
      </w:r>
      <w:r w:rsidR="005065E3">
        <w:rPr>
          <w:lang w:val="sr-Cyrl-RS"/>
        </w:rPr>
        <w:t>усмереност</w:t>
      </w:r>
      <w:r>
        <w:rPr>
          <w:lang w:val="sr-Cyrl-RS"/>
        </w:rPr>
        <w:t xml:space="preserve"> истраживачког интересовања у овом моменту. У том смислу, </w:t>
      </w:r>
      <w:r w:rsidR="002006DD">
        <w:rPr>
          <w:lang w:val="sr-Cyrl-RS"/>
        </w:rPr>
        <w:t xml:space="preserve">посебан је квалитет зборника то што се </w:t>
      </w:r>
      <w:r w:rsidR="005065E3">
        <w:rPr>
          <w:lang w:val="sr-Cyrl-RS"/>
        </w:rPr>
        <w:t xml:space="preserve">са различитих аспеката говори </w:t>
      </w:r>
      <w:r w:rsidR="002006DD">
        <w:rPr>
          <w:lang w:val="sr-Cyrl-RS"/>
        </w:rPr>
        <w:t>о унапређењу наставе страних језика</w:t>
      </w:r>
      <w:r w:rsidR="005065E3">
        <w:rPr>
          <w:lang w:val="sr-Cyrl-RS"/>
        </w:rPr>
        <w:t>, али</w:t>
      </w:r>
      <w:r w:rsidR="002006DD">
        <w:rPr>
          <w:lang w:val="sr-Cyrl-RS"/>
        </w:rPr>
        <w:t xml:space="preserve"> </w:t>
      </w:r>
      <w:r>
        <w:rPr>
          <w:lang w:val="sr-Cyrl-RS"/>
        </w:rPr>
        <w:t>чињеница је да су у потпуности изостали осврти на наставу српског језика као матерњег, те да се само један рад (Александра Новаковића) бави наставом српског, али као страног језика.</w:t>
      </w:r>
    </w:p>
    <w:p w14:paraId="02999C38" w14:textId="77777777" w:rsidR="003A5EF5" w:rsidRDefault="005065E3" w:rsidP="005065E3">
      <w:pPr>
        <w:ind w:firstLine="567"/>
        <w:jc w:val="both"/>
        <w:rPr>
          <w:lang w:val="sr-Cyrl-RS"/>
        </w:rPr>
      </w:pPr>
      <w:r>
        <w:rPr>
          <w:lang w:val="sr-Cyrl-RS"/>
        </w:rPr>
        <w:t xml:space="preserve">Из овог кратког прегледа јасно је да је лингвистички том зборника </w:t>
      </w:r>
      <w:r w:rsidRPr="00620303">
        <w:rPr>
          <w:i/>
          <w:lang w:val="sr-Cyrl-RS"/>
        </w:rPr>
        <w:t>Језик, књижевност, алтернативе: језичка истраживања</w:t>
      </w:r>
      <w:r>
        <w:rPr>
          <w:i/>
          <w:lang w:val="sr-Cyrl-RS"/>
        </w:rPr>
        <w:t xml:space="preserve"> </w:t>
      </w:r>
      <w:r>
        <w:rPr>
          <w:lang w:val="sr-Cyrl-RS"/>
        </w:rPr>
        <w:t>не само испунио, него и превазишао циљ који је постављен пред овако комплексну публикацију. Задржавши концепцију неомеђеног приступа, зборник се ипак чита као добро усмерена публикација у којој су целине јасно дефинисане, а проблеми се на логичан начин изводе један из другог. За спој ова два квалитета несумњиво су заслужни аутори свих тридесет шест радова, рецензенти поје</w:t>
      </w:r>
      <w:r w:rsidR="003A5EF5">
        <w:rPr>
          <w:lang w:val="sr-Cyrl-RS"/>
        </w:rPr>
        <w:t xml:space="preserve">диначних радова, и уреднице које су пажљивом анализом и систематизацијом зналачки установиле критеријално чврст поредак као најважнији </w:t>
      </w:r>
      <w:r w:rsidR="00B914BC">
        <w:rPr>
          <w:lang w:val="sr-Cyrl-RS"/>
        </w:rPr>
        <w:t xml:space="preserve">кохезивни </w:t>
      </w:r>
      <w:r w:rsidR="003A5EF5">
        <w:rPr>
          <w:lang w:val="sr-Cyrl-RS"/>
        </w:rPr>
        <w:t>фактор публикације.</w:t>
      </w:r>
    </w:p>
    <w:p w14:paraId="5A0AD4C1" w14:textId="77777777" w:rsidR="004B2276" w:rsidRDefault="003A5EF5" w:rsidP="005065E3">
      <w:pPr>
        <w:ind w:firstLine="567"/>
        <w:jc w:val="both"/>
        <w:rPr>
          <w:lang w:val="sr-Cyrl-RS"/>
        </w:rPr>
      </w:pPr>
      <w:r>
        <w:rPr>
          <w:lang w:val="sr-Cyrl-RS"/>
        </w:rPr>
        <w:t>Стога је и сам</w:t>
      </w:r>
      <w:r w:rsidR="00B251BE">
        <w:rPr>
          <w:lang w:val="sr-Cyrl-RS"/>
        </w:rPr>
        <w:t xml:space="preserve"> зборник</w:t>
      </w:r>
      <w:r>
        <w:rPr>
          <w:lang w:val="sr-Cyrl-RS"/>
        </w:rPr>
        <w:t xml:space="preserve"> на неки начин алтернатив</w:t>
      </w:r>
      <w:r w:rsidR="00B251BE">
        <w:rPr>
          <w:lang w:val="sr-Cyrl-RS"/>
        </w:rPr>
        <w:t>а</w:t>
      </w:r>
      <w:r>
        <w:rPr>
          <w:lang w:val="sr-Cyrl-RS"/>
        </w:rPr>
        <w:t>н</w:t>
      </w:r>
      <w:r w:rsidR="002E4CEE">
        <w:rPr>
          <w:lang w:val="sr-Cyrl-RS"/>
        </w:rPr>
        <w:t>. Уз то, он</w:t>
      </w:r>
      <w:r w:rsidR="00B251BE">
        <w:rPr>
          <w:lang w:val="sr-Cyrl-RS"/>
        </w:rPr>
        <w:t xml:space="preserve"> представља узорни модел уређивања колективних научних публикација, са отклоном од „критеријума“ хијерархије у звањима или давања примата </w:t>
      </w:r>
      <w:r w:rsidR="002E4CEE">
        <w:rPr>
          <w:lang w:val="sr-Cyrl-RS"/>
        </w:rPr>
        <w:t>радовима чији су аутори „</w:t>
      </w:r>
      <w:r w:rsidR="00B251BE">
        <w:rPr>
          <w:lang w:val="sr-Cyrl-RS"/>
        </w:rPr>
        <w:t>гости издалека</w:t>
      </w:r>
      <w:r w:rsidR="002E4CEE">
        <w:rPr>
          <w:lang w:val="sr-Cyrl-RS"/>
        </w:rPr>
        <w:t>“</w:t>
      </w:r>
      <w:r w:rsidR="00B251BE">
        <w:rPr>
          <w:lang w:val="sr-Cyrl-RS"/>
        </w:rPr>
        <w:t xml:space="preserve">. </w:t>
      </w:r>
      <w:r w:rsidR="002E4CEE">
        <w:rPr>
          <w:lang w:val="sr-Cyrl-RS"/>
        </w:rPr>
        <w:t>Супротно томе, у</w:t>
      </w:r>
      <w:r w:rsidR="00B251BE">
        <w:rPr>
          <w:lang w:val="sr-Cyrl-RS"/>
        </w:rPr>
        <w:t xml:space="preserve">реднице промовишу научну кохерентност и логику методолошког и проблемског јединства као </w:t>
      </w:r>
      <w:r w:rsidR="00C75F4A">
        <w:rPr>
          <w:lang w:val="sr-Cyrl-RS"/>
        </w:rPr>
        <w:t xml:space="preserve">једини прави </w:t>
      </w:r>
      <w:r w:rsidR="002E4CEE">
        <w:rPr>
          <w:lang w:val="sr-Cyrl-RS"/>
        </w:rPr>
        <w:t xml:space="preserve">вид </w:t>
      </w:r>
      <w:r w:rsidR="001A4122">
        <w:rPr>
          <w:lang w:val="sr-Cyrl-RS"/>
        </w:rPr>
        <w:t xml:space="preserve">професионалног </w:t>
      </w:r>
      <w:r w:rsidR="002E4CEE">
        <w:rPr>
          <w:lang w:val="sr-Cyrl-RS"/>
        </w:rPr>
        <w:t>поштовања према ауторима.</w:t>
      </w:r>
    </w:p>
    <w:p w14:paraId="6C90C3BC" w14:textId="77777777" w:rsidR="00BC36D5" w:rsidRDefault="004B2276" w:rsidP="00822895">
      <w:pPr>
        <w:ind w:firstLine="567"/>
        <w:jc w:val="both"/>
        <w:rPr>
          <w:lang w:val="sr-Cyrl-RS"/>
        </w:rPr>
      </w:pPr>
      <w:r>
        <w:rPr>
          <w:lang w:val="sr-Cyrl-RS"/>
        </w:rPr>
        <w:lastRenderedPageBreak/>
        <w:t>З</w:t>
      </w:r>
      <w:r w:rsidR="00A85DDD">
        <w:rPr>
          <w:lang w:val="sr-Cyrl-RS"/>
        </w:rPr>
        <w:t>б</w:t>
      </w:r>
      <w:r>
        <w:rPr>
          <w:lang w:val="sr-Cyrl-RS"/>
        </w:rPr>
        <w:t xml:space="preserve">ог свега реченог, уверена сам да ће овај зборник представљати значајно штиво за широки круг младих истраживача, подстицај за отварање нових тема и приступа, али и еталон објективности </w:t>
      </w:r>
      <w:r w:rsidR="00A162AE">
        <w:rPr>
          <w:lang w:val="sr-Cyrl-RS"/>
        </w:rPr>
        <w:t xml:space="preserve">и научне заснованости </w:t>
      </w:r>
      <w:r w:rsidR="00822895">
        <w:rPr>
          <w:lang w:val="sr-Cyrl-RS"/>
        </w:rPr>
        <w:t>у уредничким подухватима</w:t>
      </w:r>
      <w:r w:rsidR="00A85DDD">
        <w:rPr>
          <w:lang w:val="sr-Cyrl-RS"/>
        </w:rPr>
        <w:t>.</w:t>
      </w:r>
    </w:p>
    <w:p w14:paraId="08B1E90E" w14:textId="77777777" w:rsidR="00A85DDD" w:rsidRDefault="00A85DDD" w:rsidP="00822895">
      <w:pPr>
        <w:ind w:firstLine="567"/>
        <w:jc w:val="both"/>
        <w:rPr>
          <w:bCs/>
          <w:lang w:val="sr-Cyrl-RS"/>
        </w:rPr>
      </w:pPr>
    </w:p>
    <w:p w14:paraId="2C4664FA" w14:textId="77777777" w:rsidR="00A85DDD" w:rsidRPr="00822895" w:rsidRDefault="00A85DDD" w:rsidP="00A85DDD">
      <w:pPr>
        <w:ind w:firstLine="567"/>
        <w:jc w:val="right"/>
        <w:rPr>
          <w:bCs/>
          <w:lang w:val="sr-Cyrl-RS"/>
        </w:rPr>
      </w:pPr>
      <w:r>
        <w:rPr>
          <w:bCs/>
          <w:lang w:val="sr-Cyrl-RS"/>
        </w:rPr>
        <w:t>Илијана Чутура</w:t>
      </w:r>
    </w:p>
    <w:sectPr w:rsidR="00A85DDD" w:rsidRPr="008228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7E193D"/>
    <w:multiLevelType w:val="hybridMultilevel"/>
    <w:tmpl w:val="9C12E00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F23571"/>
    <w:multiLevelType w:val="hybridMultilevel"/>
    <w:tmpl w:val="C0DEBC5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00834849">
    <w:abstractNumId w:val="0"/>
  </w:num>
  <w:num w:numId="2" w16cid:durableId="2690477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923"/>
    <w:rsid w:val="00001108"/>
    <w:rsid w:val="0000227E"/>
    <w:rsid w:val="00026AEC"/>
    <w:rsid w:val="000376F4"/>
    <w:rsid w:val="000A0196"/>
    <w:rsid w:val="000A2B1C"/>
    <w:rsid w:val="000D0522"/>
    <w:rsid w:val="000D6A74"/>
    <w:rsid w:val="000E4D4B"/>
    <w:rsid w:val="000F3960"/>
    <w:rsid w:val="00112364"/>
    <w:rsid w:val="001156DF"/>
    <w:rsid w:val="001228F9"/>
    <w:rsid w:val="00127529"/>
    <w:rsid w:val="00134661"/>
    <w:rsid w:val="00137EF3"/>
    <w:rsid w:val="00144E88"/>
    <w:rsid w:val="001471B6"/>
    <w:rsid w:val="00172301"/>
    <w:rsid w:val="001812BC"/>
    <w:rsid w:val="00185B22"/>
    <w:rsid w:val="001951A2"/>
    <w:rsid w:val="001A1677"/>
    <w:rsid w:val="001A4122"/>
    <w:rsid w:val="001B18D6"/>
    <w:rsid w:val="001B7EE9"/>
    <w:rsid w:val="001C5006"/>
    <w:rsid w:val="002006DD"/>
    <w:rsid w:val="00205402"/>
    <w:rsid w:val="00210EE8"/>
    <w:rsid w:val="0021408C"/>
    <w:rsid w:val="002402A9"/>
    <w:rsid w:val="00242B6C"/>
    <w:rsid w:val="002438C6"/>
    <w:rsid w:val="0026052A"/>
    <w:rsid w:val="00271B0C"/>
    <w:rsid w:val="002768FD"/>
    <w:rsid w:val="002A3F48"/>
    <w:rsid w:val="002A74C8"/>
    <w:rsid w:val="002B3C22"/>
    <w:rsid w:val="002B6B08"/>
    <w:rsid w:val="002B6D60"/>
    <w:rsid w:val="002C6249"/>
    <w:rsid w:val="002C72BF"/>
    <w:rsid w:val="002C7EB8"/>
    <w:rsid w:val="002D2CE3"/>
    <w:rsid w:val="002E4CEE"/>
    <w:rsid w:val="002F00A8"/>
    <w:rsid w:val="002F6C86"/>
    <w:rsid w:val="002F762A"/>
    <w:rsid w:val="002F7C47"/>
    <w:rsid w:val="00302743"/>
    <w:rsid w:val="00307100"/>
    <w:rsid w:val="00307497"/>
    <w:rsid w:val="0031606B"/>
    <w:rsid w:val="00337965"/>
    <w:rsid w:val="00342957"/>
    <w:rsid w:val="00354FFE"/>
    <w:rsid w:val="00355F12"/>
    <w:rsid w:val="00356791"/>
    <w:rsid w:val="003752FD"/>
    <w:rsid w:val="0038232A"/>
    <w:rsid w:val="003837D8"/>
    <w:rsid w:val="00393C94"/>
    <w:rsid w:val="00397CF4"/>
    <w:rsid w:val="003A3BF6"/>
    <w:rsid w:val="003A4BF2"/>
    <w:rsid w:val="003A5EF5"/>
    <w:rsid w:val="003B7E9E"/>
    <w:rsid w:val="003C55D3"/>
    <w:rsid w:val="003D6B36"/>
    <w:rsid w:val="003E3B98"/>
    <w:rsid w:val="003F06CB"/>
    <w:rsid w:val="003F2982"/>
    <w:rsid w:val="00405BC1"/>
    <w:rsid w:val="00421A26"/>
    <w:rsid w:val="004308A5"/>
    <w:rsid w:val="00432821"/>
    <w:rsid w:val="0046348A"/>
    <w:rsid w:val="0048327C"/>
    <w:rsid w:val="00486D3B"/>
    <w:rsid w:val="004873D0"/>
    <w:rsid w:val="004978B0"/>
    <w:rsid w:val="004A123D"/>
    <w:rsid w:val="004A1860"/>
    <w:rsid w:val="004B2276"/>
    <w:rsid w:val="004C1732"/>
    <w:rsid w:val="004C3E6A"/>
    <w:rsid w:val="004D1BB6"/>
    <w:rsid w:val="004D70AE"/>
    <w:rsid w:val="004F13A9"/>
    <w:rsid w:val="004F752F"/>
    <w:rsid w:val="00500695"/>
    <w:rsid w:val="005065E3"/>
    <w:rsid w:val="0051058C"/>
    <w:rsid w:val="00532B52"/>
    <w:rsid w:val="00537550"/>
    <w:rsid w:val="00541C1C"/>
    <w:rsid w:val="0054586B"/>
    <w:rsid w:val="00547E70"/>
    <w:rsid w:val="00552E97"/>
    <w:rsid w:val="0057141D"/>
    <w:rsid w:val="005756C3"/>
    <w:rsid w:val="005774AB"/>
    <w:rsid w:val="0058739B"/>
    <w:rsid w:val="005A6D60"/>
    <w:rsid w:val="005A6D96"/>
    <w:rsid w:val="005B503C"/>
    <w:rsid w:val="005B5EAD"/>
    <w:rsid w:val="005B7C41"/>
    <w:rsid w:val="005C52AC"/>
    <w:rsid w:val="005C72AD"/>
    <w:rsid w:val="006030F3"/>
    <w:rsid w:val="00620303"/>
    <w:rsid w:val="006247FF"/>
    <w:rsid w:val="0062774C"/>
    <w:rsid w:val="00634798"/>
    <w:rsid w:val="0064250B"/>
    <w:rsid w:val="00663F12"/>
    <w:rsid w:val="00667E91"/>
    <w:rsid w:val="00670719"/>
    <w:rsid w:val="0067502A"/>
    <w:rsid w:val="006946A9"/>
    <w:rsid w:val="006A1D88"/>
    <w:rsid w:val="006A3F99"/>
    <w:rsid w:val="006C3E99"/>
    <w:rsid w:val="006E7785"/>
    <w:rsid w:val="006F2062"/>
    <w:rsid w:val="00703F1E"/>
    <w:rsid w:val="00706915"/>
    <w:rsid w:val="007145AE"/>
    <w:rsid w:val="00721F57"/>
    <w:rsid w:val="0072211B"/>
    <w:rsid w:val="0073326C"/>
    <w:rsid w:val="007366F4"/>
    <w:rsid w:val="00737BB5"/>
    <w:rsid w:val="00747236"/>
    <w:rsid w:val="007538EC"/>
    <w:rsid w:val="00761B5A"/>
    <w:rsid w:val="007704B6"/>
    <w:rsid w:val="00773442"/>
    <w:rsid w:val="0078624A"/>
    <w:rsid w:val="00791068"/>
    <w:rsid w:val="0079112D"/>
    <w:rsid w:val="00795D07"/>
    <w:rsid w:val="007A2D87"/>
    <w:rsid w:val="007C4205"/>
    <w:rsid w:val="007E0AE0"/>
    <w:rsid w:val="007E56EB"/>
    <w:rsid w:val="007E5D82"/>
    <w:rsid w:val="007F46C4"/>
    <w:rsid w:val="0082177F"/>
    <w:rsid w:val="00822895"/>
    <w:rsid w:val="008341FB"/>
    <w:rsid w:val="00836483"/>
    <w:rsid w:val="00843AE1"/>
    <w:rsid w:val="00847809"/>
    <w:rsid w:val="00850B5B"/>
    <w:rsid w:val="00852D7A"/>
    <w:rsid w:val="00856665"/>
    <w:rsid w:val="00873DBB"/>
    <w:rsid w:val="00895161"/>
    <w:rsid w:val="008A0B06"/>
    <w:rsid w:val="008A330F"/>
    <w:rsid w:val="008C477C"/>
    <w:rsid w:val="008C5F58"/>
    <w:rsid w:val="008C6329"/>
    <w:rsid w:val="008D14FC"/>
    <w:rsid w:val="008E0C31"/>
    <w:rsid w:val="008E41D4"/>
    <w:rsid w:val="00900498"/>
    <w:rsid w:val="00900B84"/>
    <w:rsid w:val="009174B0"/>
    <w:rsid w:val="00921D5E"/>
    <w:rsid w:val="00931387"/>
    <w:rsid w:val="009364F0"/>
    <w:rsid w:val="00946E50"/>
    <w:rsid w:val="00947923"/>
    <w:rsid w:val="009538E5"/>
    <w:rsid w:val="00963220"/>
    <w:rsid w:val="00970B2E"/>
    <w:rsid w:val="00980782"/>
    <w:rsid w:val="00982E3B"/>
    <w:rsid w:val="00983A3D"/>
    <w:rsid w:val="00986CF8"/>
    <w:rsid w:val="00991197"/>
    <w:rsid w:val="00993CB3"/>
    <w:rsid w:val="00995534"/>
    <w:rsid w:val="009C08E5"/>
    <w:rsid w:val="009D30BF"/>
    <w:rsid w:val="009D3E91"/>
    <w:rsid w:val="009E3CA5"/>
    <w:rsid w:val="009E5448"/>
    <w:rsid w:val="009E6703"/>
    <w:rsid w:val="00A009D9"/>
    <w:rsid w:val="00A060DA"/>
    <w:rsid w:val="00A063F5"/>
    <w:rsid w:val="00A162AE"/>
    <w:rsid w:val="00A20F20"/>
    <w:rsid w:val="00A236D6"/>
    <w:rsid w:val="00A261EF"/>
    <w:rsid w:val="00A42833"/>
    <w:rsid w:val="00A541F8"/>
    <w:rsid w:val="00A82C4C"/>
    <w:rsid w:val="00A857D5"/>
    <w:rsid w:val="00A85DDD"/>
    <w:rsid w:val="00A920B7"/>
    <w:rsid w:val="00A95448"/>
    <w:rsid w:val="00AA2917"/>
    <w:rsid w:val="00AA2DBA"/>
    <w:rsid w:val="00AA452E"/>
    <w:rsid w:val="00AC449A"/>
    <w:rsid w:val="00AD240B"/>
    <w:rsid w:val="00AD6DE4"/>
    <w:rsid w:val="00AE1C6D"/>
    <w:rsid w:val="00AF19C8"/>
    <w:rsid w:val="00AF3827"/>
    <w:rsid w:val="00AF7C12"/>
    <w:rsid w:val="00B0263F"/>
    <w:rsid w:val="00B167EC"/>
    <w:rsid w:val="00B16D4E"/>
    <w:rsid w:val="00B24916"/>
    <w:rsid w:val="00B251BE"/>
    <w:rsid w:val="00B322DD"/>
    <w:rsid w:val="00B42B3F"/>
    <w:rsid w:val="00B44299"/>
    <w:rsid w:val="00B60E7A"/>
    <w:rsid w:val="00B63305"/>
    <w:rsid w:val="00B67531"/>
    <w:rsid w:val="00B71AA1"/>
    <w:rsid w:val="00B72C7C"/>
    <w:rsid w:val="00B816CE"/>
    <w:rsid w:val="00B914BC"/>
    <w:rsid w:val="00BA2053"/>
    <w:rsid w:val="00BA66A0"/>
    <w:rsid w:val="00BC34FE"/>
    <w:rsid w:val="00BC36D5"/>
    <w:rsid w:val="00BC69FB"/>
    <w:rsid w:val="00BD6555"/>
    <w:rsid w:val="00BD6F92"/>
    <w:rsid w:val="00C31614"/>
    <w:rsid w:val="00C33A96"/>
    <w:rsid w:val="00C4003B"/>
    <w:rsid w:val="00C44A62"/>
    <w:rsid w:val="00C52BE9"/>
    <w:rsid w:val="00C565FC"/>
    <w:rsid w:val="00C75F4A"/>
    <w:rsid w:val="00C77E02"/>
    <w:rsid w:val="00C92EFA"/>
    <w:rsid w:val="00C95518"/>
    <w:rsid w:val="00CA54F6"/>
    <w:rsid w:val="00CC131E"/>
    <w:rsid w:val="00CC689B"/>
    <w:rsid w:val="00CD35D4"/>
    <w:rsid w:val="00CF1D60"/>
    <w:rsid w:val="00CF3050"/>
    <w:rsid w:val="00CF4D9D"/>
    <w:rsid w:val="00CF62EB"/>
    <w:rsid w:val="00CF6627"/>
    <w:rsid w:val="00D00335"/>
    <w:rsid w:val="00D04961"/>
    <w:rsid w:val="00D13876"/>
    <w:rsid w:val="00D31A68"/>
    <w:rsid w:val="00D333DE"/>
    <w:rsid w:val="00D35CF3"/>
    <w:rsid w:val="00D4206C"/>
    <w:rsid w:val="00D5198E"/>
    <w:rsid w:val="00D52E35"/>
    <w:rsid w:val="00D550C9"/>
    <w:rsid w:val="00D5536A"/>
    <w:rsid w:val="00D570E8"/>
    <w:rsid w:val="00D622AC"/>
    <w:rsid w:val="00D64495"/>
    <w:rsid w:val="00D72E7E"/>
    <w:rsid w:val="00D754D2"/>
    <w:rsid w:val="00D8322C"/>
    <w:rsid w:val="00D909D3"/>
    <w:rsid w:val="00D91E73"/>
    <w:rsid w:val="00DA299A"/>
    <w:rsid w:val="00DA5901"/>
    <w:rsid w:val="00DB1329"/>
    <w:rsid w:val="00DB2658"/>
    <w:rsid w:val="00DD081C"/>
    <w:rsid w:val="00DD571B"/>
    <w:rsid w:val="00E051DF"/>
    <w:rsid w:val="00E22CBB"/>
    <w:rsid w:val="00E30340"/>
    <w:rsid w:val="00E563DE"/>
    <w:rsid w:val="00E7536B"/>
    <w:rsid w:val="00E80E44"/>
    <w:rsid w:val="00EA47E9"/>
    <w:rsid w:val="00EB0AB7"/>
    <w:rsid w:val="00EB75F3"/>
    <w:rsid w:val="00F069E5"/>
    <w:rsid w:val="00F12909"/>
    <w:rsid w:val="00F15D92"/>
    <w:rsid w:val="00F16D80"/>
    <w:rsid w:val="00F211D1"/>
    <w:rsid w:val="00F237E9"/>
    <w:rsid w:val="00F2452B"/>
    <w:rsid w:val="00F46D22"/>
    <w:rsid w:val="00F60DBD"/>
    <w:rsid w:val="00F64F66"/>
    <w:rsid w:val="00F749D2"/>
    <w:rsid w:val="00F77DC7"/>
    <w:rsid w:val="00FA61CC"/>
    <w:rsid w:val="00FB4027"/>
    <w:rsid w:val="00FD16CD"/>
    <w:rsid w:val="00FD19A5"/>
    <w:rsid w:val="00FD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35894E"/>
  <w15:docId w15:val="{2B0C5B69-37AC-4816-BF23-C17C8434B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A45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A452E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rsid w:val="00AA452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AA45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52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52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1529</Words>
  <Characters>8717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 Black Edition - tum0r</Company>
  <LinksUpToDate>false</LinksUpToDate>
  <CharactersWithSpaces>10226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IlijanaC</dc:creator>
  <cp:lastModifiedBy>Snežana Miljković</cp:lastModifiedBy>
  <cp:revision>2</cp:revision>
  <dcterms:created xsi:type="dcterms:W3CDTF">2022-04-29T09:45:00Z</dcterms:created>
  <dcterms:modified xsi:type="dcterms:W3CDTF">2022-04-29T09:45:00Z</dcterms:modified>
</cp:coreProperties>
</file>